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中南大学</w:t>
      </w:r>
      <w:r>
        <w:rPr>
          <w:rFonts w:ascii="黑体" w:eastAsia="黑体"/>
          <w:b/>
          <w:color w:val="auto"/>
          <w:sz w:val="36"/>
          <w:szCs w:val="36"/>
        </w:rPr>
        <w:t>20</w:t>
      </w:r>
      <w:r>
        <w:rPr>
          <w:rFonts w:hint="eastAsia" w:ascii="黑体" w:eastAsia="黑体"/>
          <w:b/>
          <w:color w:val="auto"/>
          <w:sz w:val="36"/>
          <w:szCs w:val="36"/>
        </w:rPr>
        <w:t>2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color w:val="auto"/>
          <w:sz w:val="36"/>
          <w:szCs w:val="36"/>
        </w:rPr>
        <w:t>年硕士研究生招生考试思想政治表现函调表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401"/>
        <w:gridCol w:w="1843"/>
        <w:gridCol w:w="113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拟录取院、系、医院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商学院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□否），如果是请另附页详细说明有关情况。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 xml:space="preserve"> （档案所在单位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人事或政工部门）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.所有拟录取考生均须填此表；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.</w:t>
      </w:r>
      <w:r>
        <w:rPr>
          <w:rFonts w:hint="eastAsia"/>
          <w:szCs w:val="21"/>
        </w:rPr>
        <w:t>按要求办理好此表并寄（送）到二级培养单位（邮寄地址和收件人参见二级培养单位开具的《调档函》）。</w:t>
      </w:r>
    </w:p>
    <w:p>
      <w:pPr>
        <w:spacing w:line="320" w:lineRule="exact"/>
        <w:ind w:firstLine="630" w:firstLineChars="300"/>
      </w:pPr>
    </w:p>
    <w:sectPr>
      <w:headerReference r:id="rId3" w:type="default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3ZmY3MWU0ZjlhNTg5Yjk2ZTczNDM5ZGI5MDU2NDEifQ=="/>
  </w:docVars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1E130E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8546F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BA158C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  <w:rsid w:val="02E91919"/>
    <w:rsid w:val="1D6B5D48"/>
    <w:rsid w:val="1EA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53</Words>
  <Characters>308</Characters>
  <Lines>2</Lines>
  <Paragraphs>1</Paragraphs>
  <TotalTime>30</TotalTime>
  <ScaleCrop>false</ScaleCrop>
  <LinksUpToDate>false</LinksUpToDate>
  <CharactersWithSpaces>360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Dell</cp:lastModifiedBy>
  <cp:lastPrinted>2017-03-06T00:17:00Z</cp:lastPrinted>
  <dcterms:modified xsi:type="dcterms:W3CDTF">2024-03-26T07:54:01Z</dcterms:modified>
  <dc:title>中南大学2015年拟录取硕士研究生政审表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77EF9563E850455AB66DB280CF3EDFB4_12</vt:lpwstr>
  </property>
</Properties>
</file>